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4475" w14:textId="77777777" w:rsidR="00437EF7" w:rsidRDefault="00437EF7" w:rsidP="00CF0B9B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5564"/>
        <w:gridCol w:w="2340"/>
      </w:tblGrid>
      <w:tr w:rsidR="00437EF7" w:rsidRPr="004E2682" w14:paraId="001B820E" w14:textId="77777777" w:rsidTr="004A291B">
        <w:trPr>
          <w:trHeight w:val="2794"/>
        </w:trPr>
        <w:tc>
          <w:tcPr>
            <w:tcW w:w="2716" w:type="dxa"/>
          </w:tcPr>
          <w:p w14:paraId="6DEB16DD" w14:textId="77777777" w:rsidR="00437EF7" w:rsidRPr="004E2682" w:rsidRDefault="00437EF7" w:rsidP="004A291B"/>
          <w:p w14:paraId="6ED91EBC" w14:textId="7EDB7B74" w:rsidR="00437EF7" w:rsidRPr="004E2682" w:rsidRDefault="00E54849" w:rsidP="004A291B">
            <w:pPr>
              <w:widowControl w:val="0"/>
              <w:autoSpaceDE w:val="0"/>
              <w:autoSpaceDN w:val="0"/>
            </w:pPr>
            <w:r>
              <w:rPr>
                <w:noProof/>
                <w:lang w:eastAsia="fr-FR"/>
              </w:rPr>
              <w:drawing>
                <wp:inline distT="0" distB="0" distL="0" distR="0" wp14:anchorId="6277E49A" wp14:editId="26434C86">
                  <wp:extent cx="1431290" cy="15106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14:paraId="1A7CF548" w14:textId="77777777" w:rsidR="00437EF7" w:rsidRPr="004E2682" w:rsidRDefault="00437EF7" w:rsidP="004A291B">
            <w:pPr>
              <w:jc w:val="center"/>
              <w:rPr>
                <w:rFonts w:ascii="Arial" w:hAnsi="Arial" w:cs="Arial"/>
                <w:b/>
                <w:bCs/>
                <w:smallCaps/>
                <w:color w:val="C0C0C0"/>
                <w:sz w:val="96"/>
                <w:szCs w:val="96"/>
              </w:rPr>
            </w:pPr>
            <w:r>
              <w:rPr>
                <w:rFonts w:ascii="Arial" w:hAnsi="Arial" w:cs="Arial"/>
                <w:b/>
                <w:bCs/>
                <w:smallCaps/>
                <w:color w:val="C0C0C0"/>
                <w:sz w:val="96"/>
                <w:szCs w:val="96"/>
              </w:rPr>
              <w:t>G F</w:t>
            </w:r>
            <w:r w:rsidRPr="004E2682">
              <w:rPr>
                <w:rFonts w:ascii="Arial" w:hAnsi="Arial" w:cs="Arial"/>
                <w:b/>
                <w:bCs/>
                <w:smallCaps/>
                <w:color w:val="C0C0C0"/>
                <w:sz w:val="96"/>
                <w:szCs w:val="96"/>
              </w:rPr>
              <w:t xml:space="preserve"> H T</w:t>
            </w:r>
          </w:p>
          <w:p w14:paraId="46DA7CAF" w14:textId="77777777" w:rsidR="00437EF7" w:rsidRPr="004E2682" w:rsidRDefault="00437EF7" w:rsidP="004A291B">
            <w:pPr>
              <w:pStyle w:val="En-tte"/>
              <w:widowControl/>
              <w:tabs>
                <w:tab w:val="clear" w:pos="4536"/>
              </w:tabs>
              <w:jc w:val="center"/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E2682">
              <w:rPr>
                <w:rFonts w:ascii="Arial" w:hAnsi="Arial" w:cs="Arial"/>
                <w:color w:val="C0C0C0"/>
                <w:sz w:val="28"/>
                <w:szCs w:val="28"/>
              </w:rPr>
              <w:t xml:space="preserve">Groupe </w:t>
            </w:r>
            <w:r>
              <w:rPr>
                <w:rFonts w:ascii="Arial" w:hAnsi="Arial" w:cs="Arial"/>
                <w:color w:val="C0C0C0"/>
                <w:sz w:val="28"/>
                <w:szCs w:val="28"/>
              </w:rPr>
              <w:t>Français d’é</w:t>
            </w:r>
            <w:r w:rsidRPr="004E2682">
              <w:rPr>
                <w:rFonts w:ascii="Arial" w:hAnsi="Arial" w:cs="Arial"/>
                <w:color w:val="C0C0C0"/>
                <w:sz w:val="28"/>
                <w:szCs w:val="28"/>
              </w:rPr>
              <w:t xml:space="preserve">tude </w:t>
            </w:r>
          </w:p>
          <w:p w14:paraId="46EE21E3" w14:textId="77777777" w:rsidR="00437EF7" w:rsidRPr="004E2682" w:rsidRDefault="00437EF7" w:rsidP="004A291B">
            <w:pPr>
              <w:pStyle w:val="En-tte"/>
              <w:widowControl/>
              <w:tabs>
                <w:tab w:val="clear" w:pos="4536"/>
              </w:tabs>
              <w:jc w:val="center"/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E2682">
              <w:rPr>
                <w:rFonts w:ascii="Arial" w:hAnsi="Arial" w:cs="Arial"/>
                <w:color w:val="C0C0C0"/>
                <w:sz w:val="28"/>
                <w:szCs w:val="28"/>
              </w:rPr>
              <w:t>sur l’Hémostase et la Thrombose</w:t>
            </w:r>
          </w:p>
          <w:p w14:paraId="3896D2EA" w14:textId="77777777" w:rsidR="00437EF7" w:rsidRPr="004E2682" w:rsidRDefault="00437EF7" w:rsidP="004A291B">
            <w:pPr>
              <w:jc w:val="center"/>
              <w:rPr>
                <w:rFonts w:ascii="Arial" w:hAnsi="Arial" w:cs="Arial"/>
                <w:color w:val="C0C0C0"/>
              </w:rPr>
            </w:pPr>
            <w:r w:rsidRPr="004E2682">
              <w:rPr>
                <w:rFonts w:ascii="Arial" w:hAnsi="Arial" w:cs="Arial"/>
                <w:color w:val="C0C0C0"/>
              </w:rPr>
              <w:t>de la</w:t>
            </w:r>
          </w:p>
          <w:p w14:paraId="0D261F7F" w14:textId="77777777" w:rsidR="00437EF7" w:rsidRPr="004E2682" w:rsidRDefault="00437EF7" w:rsidP="004A291B">
            <w:pPr>
              <w:jc w:val="center"/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E2682">
              <w:rPr>
                <w:rFonts w:ascii="Arial" w:hAnsi="Arial" w:cs="Arial"/>
                <w:color w:val="C0C0C0"/>
                <w:sz w:val="28"/>
                <w:szCs w:val="28"/>
              </w:rPr>
              <w:t>Société Française d’Hématologie</w:t>
            </w:r>
          </w:p>
          <w:p w14:paraId="0A92FF5E" w14:textId="77777777" w:rsidR="00437EF7" w:rsidRPr="004E2682" w:rsidRDefault="00437EF7" w:rsidP="004A291B">
            <w:pPr>
              <w:widowControl w:val="0"/>
              <w:autoSpaceDE w:val="0"/>
              <w:autoSpaceDN w:val="0"/>
            </w:pPr>
          </w:p>
        </w:tc>
        <w:tc>
          <w:tcPr>
            <w:tcW w:w="2340" w:type="dxa"/>
          </w:tcPr>
          <w:p w14:paraId="445B5D6A" w14:textId="457F3DD9" w:rsidR="00437EF7" w:rsidRPr="004E2682" w:rsidRDefault="00E54849" w:rsidP="004A291B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color w:val="FF6600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89D69E" wp14:editId="62E34FF4">
                  <wp:extent cx="1033780" cy="691515"/>
                  <wp:effectExtent l="0" t="0" r="0" b="0"/>
                  <wp:docPr id="2" name="Image 2" descr="http://www.geht.org/fr/pictos/logo_sf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ht.org/fr/pictos/logo_sf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8FEB2" w14:textId="77777777" w:rsidR="00437EF7" w:rsidRDefault="00437EF7" w:rsidP="00CF0B9B"/>
    <w:p w14:paraId="2A267E96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Président</w:t>
      </w:r>
      <w:r>
        <w:rPr>
          <w:sz w:val="16"/>
          <w:szCs w:val="16"/>
        </w:rPr>
        <w:t> </w:t>
      </w:r>
    </w:p>
    <w:p w14:paraId="21D2FEC3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Yves GRUEL, TOURS (37)</w:t>
      </w:r>
    </w:p>
    <w:p w14:paraId="36843025" w14:textId="77777777" w:rsidR="00E54849" w:rsidRPr="00AA2010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20"/>
        </w:rPr>
        <w:tab/>
      </w:r>
    </w:p>
    <w:p w14:paraId="0837C2DA" w14:textId="77777777" w:rsidR="00E54849" w:rsidRDefault="00E54849" w:rsidP="00E54849">
      <w:pPr>
        <w:tabs>
          <w:tab w:val="left" w:pos="6237"/>
        </w:tabs>
        <w:ind w:left="284" w:right="-28"/>
        <w:rPr>
          <w:b/>
          <w:bCs/>
          <w:sz w:val="16"/>
          <w:szCs w:val="16"/>
          <w:u w:val="single"/>
        </w:rPr>
      </w:pPr>
      <w:r w:rsidRPr="00F93F45">
        <w:rPr>
          <w:b/>
          <w:bCs/>
          <w:sz w:val="16"/>
          <w:szCs w:val="16"/>
          <w:u w:val="single"/>
        </w:rPr>
        <w:t>Trésorier</w:t>
      </w:r>
      <w:r>
        <w:rPr>
          <w:b/>
          <w:bCs/>
          <w:sz w:val="16"/>
          <w:szCs w:val="16"/>
          <w:u w:val="single"/>
        </w:rPr>
        <w:t xml:space="preserve"> </w:t>
      </w:r>
    </w:p>
    <w:p w14:paraId="5E3ADCA4" w14:textId="77777777" w:rsidR="00E54849" w:rsidRDefault="00E54849" w:rsidP="00E54849">
      <w:pPr>
        <w:tabs>
          <w:tab w:val="left" w:pos="6237"/>
        </w:tabs>
        <w:ind w:left="284" w:right="-28"/>
        <w:rPr>
          <w:sz w:val="20"/>
        </w:rPr>
      </w:pPr>
      <w:r>
        <w:rPr>
          <w:sz w:val="16"/>
          <w:szCs w:val="16"/>
        </w:rPr>
        <w:t xml:space="preserve">Dominique LASNE, PARIS (75) </w:t>
      </w:r>
      <w:r>
        <w:rPr>
          <w:sz w:val="16"/>
          <w:szCs w:val="16"/>
        </w:rPr>
        <w:tab/>
      </w:r>
    </w:p>
    <w:p w14:paraId="132F694E" w14:textId="77777777" w:rsidR="00E54849" w:rsidRDefault="00E54849" w:rsidP="00E54849">
      <w:pPr>
        <w:tabs>
          <w:tab w:val="left" w:pos="6237"/>
        </w:tabs>
        <w:ind w:left="284" w:right="-28"/>
        <w:rPr>
          <w:b/>
          <w:bCs/>
          <w:sz w:val="16"/>
          <w:szCs w:val="16"/>
        </w:rPr>
      </w:pPr>
    </w:p>
    <w:p w14:paraId="1CE79421" w14:textId="77777777" w:rsidR="00E54849" w:rsidRPr="00F93F45" w:rsidRDefault="00E54849" w:rsidP="00E54849">
      <w:pPr>
        <w:tabs>
          <w:tab w:val="left" w:pos="6237"/>
        </w:tabs>
        <w:ind w:left="284" w:right="-28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Secrétaire </w:t>
      </w:r>
    </w:p>
    <w:p w14:paraId="7B2A71B4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Bénédicte DUMONT, COLOMBES (92)</w:t>
      </w:r>
    </w:p>
    <w:p w14:paraId="2658FDAE" w14:textId="77777777" w:rsidR="00E54849" w:rsidRDefault="00E54849" w:rsidP="00E54849">
      <w:pPr>
        <w:tabs>
          <w:tab w:val="left" w:pos="6237"/>
        </w:tabs>
        <w:ind w:left="284" w:right="-28"/>
        <w:rPr>
          <w:b/>
          <w:bCs/>
          <w:sz w:val="16"/>
          <w:szCs w:val="16"/>
        </w:rPr>
      </w:pPr>
    </w:p>
    <w:p w14:paraId="3F08B648" w14:textId="77777777" w:rsidR="00E54849" w:rsidRPr="00F93F45" w:rsidRDefault="00E54849" w:rsidP="00E54849">
      <w:pPr>
        <w:tabs>
          <w:tab w:val="left" w:pos="6237"/>
        </w:tabs>
        <w:ind w:left="284" w:right="-28"/>
        <w:rPr>
          <w:b/>
          <w:bCs/>
          <w:sz w:val="16"/>
          <w:szCs w:val="16"/>
        </w:rPr>
      </w:pPr>
      <w:r w:rsidRPr="00F93F45">
        <w:rPr>
          <w:b/>
          <w:bCs/>
          <w:sz w:val="16"/>
          <w:szCs w:val="16"/>
          <w:u w:val="single"/>
        </w:rPr>
        <w:t xml:space="preserve">Membres du bureau </w:t>
      </w:r>
      <w:r w:rsidRPr="00F93F45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</w:p>
    <w:p w14:paraId="4C45B93A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Marie Christine BOUTON, PARIS (75)</w:t>
      </w:r>
    </w:p>
    <w:p w14:paraId="29DFD471" w14:textId="77777777" w:rsidR="00E54849" w:rsidRPr="00F4438B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 xml:space="preserve">Christophe </w:t>
      </w:r>
      <w:r w:rsidRPr="00F4438B">
        <w:rPr>
          <w:sz w:val="16"/>
          <w:szCs w:val="16"/>
        </w:rPr>
        <w:t>DUBOIS, MARSEILLE (13)</w:t>
      </w:r>
    </w:p>
    <w:p w14:paraId="0AE5BBE2" w14:textId="77777777" w:rsidR="00E54849" w:rsidRPr="00F4438B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 w:rsidRPr="00F4438B">
        <w:rPr>
          <w:sz w:val="16"/>
          <w:szCs w:val="16"/>
        </w:rPr>
        <w:t>Peter LENTING, LE KREMLIN BICETRE (94)</w:t>
      </w:r>
    </w:p>
    <w:p w14:paraId="2A6595DC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Virginie SIGURET, PARIS (75)</w:t>
      </w:r>
    </w:p>
    <w:p w14:paraId="1632DAB6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Sophie SUSEN, LILLE (59)</w:t>
      </w:r>
    </w:p>
    <w:p w14:paraId="37FD3E07" w14:textId="77777777" w:rsidR="00E54849" w:rsidRDefault="00E54849" w:rsidP="00E54849">
      <w:pPr>
        <w:tabs>
          <w:tab w:val="left" w:pos="6237"/>
        </w:tabs>
        <w:ind w:left="284" w:right="-28"/>
        <w:rPr>
          <w:sz w:val="16"/>
          <w:szCs w:val="16"/>
        </w:rPr>
      </w:pPr>
      <w:r>
        <w:rPr>
          <w:sz w:val="16"/>
          <w:szCs w:val="16"/>
        </w:rPr>
        <w:t>Pierre Emmanuel MORANGE, MARSEILLE (13)</w:t>
      </w:r>
    </w:p>
    <w:p w14:paraId="3298FFDD" w14:textId="77777777" w:rsidR="00437EF7" w:rsidRDefault="00437EF7" w:rsidP="00CF0B9B">
      <w:pPr>
        <w:tabs>
          <w:tab w:val="left" w:pos="6237"/>
        </w:tabs>
        <w:ind w:left="284" w:right="-28"/>
        <w:rPr>
          <w:sz w:val="16"/>
          <w:szCs w:val="16"/>
        </w:rPr>
      </w:pPr>
    </w:p>
    <w:p w14:paraId="329C9C53" w14:textId="77777777" w:rsidR="00437EF7" w:rsidRDefault="00437EF7" w:rsidP="00CF0B9B">
      <w:pPr>
        <w:rPr>
          <w:b/>
        </w:rPr>
      </w:pPr>
    </w:p>
    <w:p w14:paraId="3D25EA3A" w14:textId="77777777" w:rsidR="00437EF7" w:rsidRDefault="00437EF7" w:rsidP="00EC6D15">
      <w:pPr>
        <w:jc w:val="center"/>
        <w:rPr>
          <w:b/>
        </w:rPr>
      </w:pPr>
    </w:p>
    <w:p w14:paraId="7297973F" w14:textId="77777777" w:rsidR="00437EF7" w:rsidRPr="00EC6D15" w:rsidRDefault="00437EF7" w:rsidP="00EC6D15">
      <w:pPr>
        <w:jc w:val="center"/>
        <w:rPr>
          <w:b/>
        </w:rPr>
      </w:pPr>
      <w:r w:rsidRPr="00EC6D15">
        <w:rPr>
          <w:b/>
        </w:rPr>
        <w:t>Assemblée générale du GFHT</w:t>
      </w:r>
    </w:p>
    <w:p w14:paraId="3C924678" w14:textId="7A59749E" w:rsidR="00437EF7" w:rsidRPr="00EC6D15" w:rsidRDefault="00437EF7" w:rsidP="00B47583">
      <w:pPr>
        <w:jc w:val="center"/>
        <w:rPr>
          <w:b/>
        </w:rPr>
      </w:pPr>
      <w:r w:rsidRPr="00EC6D15">
        <w:rPr>
          <w:b/>
        </w:rPr>
        <w:t xml:space="preserve">Congrès de </w:t>
      </w:r>
      <w:r w:rsidR="00D80FD0">
        <w:rPr>
          <w:b/>
        </w:rPr>
        <w:t>M</w:t>
      </w:r>
      <w:r w:rsidR="00D45141">
        <w:rPr>
          <w:b/>
        </w:rPr>
        <w:t>ontpellier</w:t>
      </w:r>
      <w:r w:rsidRPr="00EC6D15">
        <w:rPr>
          <w:b/>
        </w:rPr>
        <w:t xml:space="preserve">, </w:t>
      </w:r>
      <w:r w:rsidR="00D80FD0">
        <w:rPr>
          <w:b/>
        </w:rPr>
        <w:t>2</w:t>
      </w:r>
      <w:r w:rsidR="00D45141">
        <w:rPr>
          <w:b/>
        </w:rPr>
        <w:t>7</w:t>
      </w:r>
      <w:r w:rsidRPr="00EC6D15">
        <w:rPr>
          <w:b/>
        </w:rPr>
        <w:t xml:space="preserve"> </w:t>
      </w:r>
      <w:r w:rsidR="00D45141">
        <w:rPr>
          <w:b/>
        </w:rPr>
        <w:t>Septembre</w:t>
      </w:r>
      <w:r w:rsidR="00D80FD0">
        <w:rPr>
          <w:b/>
        </w:rPr>
        <w:t xml:space="preserve"> 201</w:t>
      </w:r>
      <w:r w:rsidR="00D45141">
        <w:rPr>
          <w:b/>
        </w:rPr>
        <w:t>9</w:t>
      </w:r>
    </w:p>
    <w:p w14:paraId="52A649BA" w14:textId="77777777" w:rsidR="00437EF7" w:rsidRDefault="00437EF7" w:rsidP="00EF0EC5">
      <w:pPr>
        <w:pStyle w:val="Paragraphedeliste"/>
        <w:ind w:left="0"/>
      </w:pPr>
    </w:p>
    <w:p w14:paraId="5B9ECA35" w14:textId="77777777" w:rsidR="00CA11DD" w:rsidRDefault="00CA11DD" w:rsidP="00EF0EC5">
      <w:pPr>
        <w:pStyle w:val="Paragraphedeliste"/>
        <w:ind w:left="0"/>
      </w:pPr>
    </w:p>
    <w:p w14:paraId="1667B0CD" w14:textId="7C8B5720" w:rsidR="001E2E61" w:rsidRDefault="00437EF7" w:rsidP="0059767D">
      <w:pPr>
        <w:pStyle w:val="Paragraphedeliste"/>
        <w:ind w:left="0"/>
        <w:jc w:val="both"/>
      </w:pPr>
      <w:r>
        <w:t>L’AG a débuté par</w:t>
      </w:r>
      <w:r w:rsidR="00D45141">
        <w:t xml:space="preserve"> un hommage à notre collègue et amie Catherine Costa </w:t>
      </w:r>
      <w:r w:rsidR="000941B7">
        <w:t xml:space="preserve">et rendu </w:t>
      </w:r>
      <w:r w:rsidR="00D45141">
        <w:t xml:space="preserve">par le </w:t>
      </w:r>
      <w:r w:rsidR="000941B7">
        <w:t xml:space="preserve">Pr </w:t>
      </w:r>
      <w:r w:rsidR="00D45141">
        <w:t xml:space="preserve">Christine </w:t>
      </w:r>
      <w:proofErr w:type="spellStart"/>
      <w:r w:rsidR="00D45141">
        <w:t>Vinciguer</w:t>
      </w:r>
      <w:r w:rsidR="00D2222F">
        <w:t>r</w:t>
      </w:r>
      <w:r w:rsidR="00D45141">
        <w:t>a</w:t>
      </w:r>
      <w:proofErr w:type="spellEnd"/>
      <w:r w:rsidR="00D45141">
        <w:t xml:space="preserve">. </w:t>
      </w:r>
    </w:p>
    <w:p w14:paraId="089A61A9" w14:textId="77777777" w:rsidR="000941B7" w:rsidRDefault="001E2E61" w:rsidP="000C21BD">
      <w:pPr>
        <w:pStyle w:val="Paragraphedeliste"/>
        <w:ind w:left="0"/>
        <w:jc w:val="both"/>
      </w:pPr>
      <w:r>
        <w:t xml:space="preserve">Notre président Yves </w:t>
      </w:r>
      <w:proofErr w:type="spellStart"/>
      <w:r>
        <w:t>Gruel</w:t>
      </w:r>
      <w:proofErr w:type="spellEnd"/>
      <w:r>
        <w:t xml:space="preserve"> a fait le bilan des actions menées par l’actuel bureau et a annoncé les élections du futur bureau en 2020 avec annonce des résultats du vote au congrès de la SFH </w:t>
      </w:r>
      <w:r w:rsidR="0059767D">
        <w:t xml:space="preserve">en avril </w:t>
      </w:r>
      <w:r>
        <w:t xml:space="preserve">2020. </w:t>
      </w:r>
    </w:p>
    <w:p w14:paraId="10A98A3A" w14:textId="278021B9" w:rsidR="009A33EE" w:rsidRDefault="009A33EE" w:rsidP="000C21BD">
      <w:pPr>
        <w:pStyle w:val="Paragraphedeliste"/>
        <w:ind w:left="0"/>
        <w:jc w:val="both"/>
      </w:pPr>
      <w:r>
        <w:t>Le vote sera probablement organisé par voie électroniqu</w:t>
      </w:r>
      <w:r w:rsidR="0059767D">
        <w:t>e. Il est donc important que les membres à jour de leur cotisation vérifient qu’ils reçoivent bien les messages du GFHT et modifie</w:t>
      </w:r>
      <w:r w:rsidR="00D2222F">
        <w:t>nt</w:t>
      </w:r>
      <w:r w:rsidR="0059767D">
        <w:t xml:space="preserve"> leur adresse mail sur le site du GFHT le cas échéant.</w:t>
      </w:r>
    </w:p>
    <w:p w14:paraId="62E42BE9" w14:textId="36CC0E1B" w:rsidR="001E2E61" w:rsidRDefault="001E2E61" w:rsidP="000C21BD">
      <w:pPr>
        <w:pStyle w:val="Paragraphedeliste"/>
        <w:ind w:left="0"/>
        <w:jc w:val="both"/>
      </w:pPr>
      <w:r>
        <w:t>Les actions des groupes de travail ont été soulignées avec l</w:t>
      </w:r>
      <w:r w:rsidR="0059767D">
        <w:t>’</w:t>
      </w:r>
      <w:r>
        <w:t xml:space="preserve">actualisation et la mise à disposition de nouvelles recommandations </w:t>
      </w:r>
      <w:proofErr w:type="spellStart"/>
      <w:r>
        <w:t>préanalytiques</w:t>
      </w:r>
      <w:proofErr w:type="spellEnd"/>
      <w:r>
        <w:t xml:space="preserve">, les publications </w:t>
      </w:r>
      <w:r w:rsidR="000C21BD">
        <w:t>internationales</w:t>
      </w:r>
      <w:r>
        <w:t xml:space="preserve"> du </w:t>
      </w:r>
      <w:r w:rsidR="000C21BD">
        <w:t>groupe</w:t>
      </w:r>
      <w:r>
        <w:t xml:space="preserve"> BIMHO et les publications nationales du groupe CEC </w:t>
      </w:r>
      <w:r w:rsidR="000C21BD">
        <w:t>biologie</w:t>
      </w:r>
      <w:r>
        <w:t xml:space="preserve"> délocalisée. Thomas Lecompte a fait un point sur les travaux réalisé</w:t>
      </w:r>
      <w:r w:rsidR="0059767D">
        <w:t>s</w:t>
      </w:r>
      <w:r>
        <w:t xml:space="preserve"> par le gr</w:t>
      </w:r>
      <w:r w:rsidR="000C21BD">
        <w:t>o</w:t>
      </w:r>
      <w:r>
        <w:t>upe immunologie plaquettaire qui ne se r</w:t>
      </w:r>
      <w:r w:rsidR="000C21BD">
        <w:t>éunit pas souvent aux réunion</w:t>
      </w:r>
      <w:r w:rsidR="0059767D">
        <w:t>s</w:t>
      </w:r>
      <w:r w:rsidR="000C21BD">
        <w:t xml:space="preserve"> d</w:t>
      </w:r>
      <w:r>
        <w:t xml:space="preserve">u GEHT mais qui </w:t>
      </w:r>
      <w:r w:rsidR="0059767D">
        <w:t xml:space="preserve">est </w:t>
      </w:r>
      <w:r>
        <w:t>actif. Les recommandations sur la thrombophilie sont en cours de finalisation.</w:t>
      </w:r>
      <w:r w:rsidR="000C21BD">
        <w:t xml:space="preserve"> L’importance des liens avec la </w:t>
      </w:r>
      <w:proofErr w:type="spellStart"/>
      <w:r w:rsidR="000C21BD">
        <w:t>CoMETH</w:t>
      </w:r>
      <w:proofErr w:type="spellEnd"/>
      <w:r w:rsidR="000C21BD">
        <w:t>, la SFH (congrès annuel, préparation d’outils pédagogiques), et les autres sociétés savantes comme la SFAR et le GIHP ont été soulignées</w:t>
      </w:r>
      <w:r w:rsidR="000941B7">
        <w:t xml:space="preserve">, tout en insistant néanmoins sur </w:t>
      </w:r>
      <w:r w:rsidR="000C21BD">
        <w:t>l’importan</w:t>
      </w:r>
      <w:r w:rsidR="00D2222F">
        <w:t>c</w:t>
      </w:r>
      <w:r w:rsidR="000C21BD">
        <w:t>e de mener des travaux spécifiques au GFHT.</w:t>
      </w:r>
    </w:p>
    <w:p w14:paraId="7A5B1F7A" w14:textId="51AEB346" w:rsidR="000C21BD" w:rsidRDefault="000C21BD" w:rsidP="000C21BD">
      <w:pPr>
        <w:pStyle w:val="Paragraphedeliste"/>
        <w:ind w:left="0"/>
        <w:jc w:val="both"/>
      </w:pPr>
      <w:r>
        <w:lastRenderedPageBreak/>
        <w:t>Pour la première fois cette année, les résumés des communication</w:t>
      </w:r>
      <w:r w:rsidR="009A33EE">
        <w:t>s</w:t>
      </w:r>
      <w:r>
        <w:t xml:space="preserve"> orale</w:t>
      </w:r>
      <w:r w:rsidR="009A33EE">
        <w:t>s et aff</w:t>
      </w:r>
      <w:r>
        <w:t>ichées d</w:t>
      </w:r>
      <w:r w:rsidR="000941B7">
        <w:t>u</w:t>
      </w:r>
      <w:r>
        <w:t xml:space="preserve"> congrès du GFHT/</w:t>
      </w:r>
      <w:proofErr w:type="spellStart"/>
      <w:r>
        <w:t>CoMETH</w:t>
      </w:r>
      <w:proofErr w:type="spellEnd"/>
      <w:r>
        <w:t xml:space="preserve"> </w:t>
      </w:r>
      <w:r w:rsidR="000941B7">
        <w:t xml:space="preserve">(rebaptisé par JF Schved Congrès Français d’Hémostase) </w:t>
      </w:r>
      <w:r w:rsidR="009A33EE">
        <w:t>sont édités dans un N° spécial de la revue TRIBUNE’ K HEMOSTASE.</w:t>
      </w:r>
    </w:p>
    <w:p w14:paraId="57BDA716" w14:textId="77777777" w:rsidR="000C21BD" w:rsidRDefault="000C21BD" w:rsidP="00EF0EC5">
      <w:pPr>
        <w:pStyle w:val="Paragraphedeliste"/>
        <w:ind w:left="0"/>
      </w:pPr>
    </w:p>
    <w:p w14:paraId="4205AA38" w14:textId="36205E6B" w:rsidR="00D45141" w:rsidRDefault="00D45141" w:rsidP="00D2222F">
      <w:pPr>
        <w:pStyle w:val="Paragraphedeliste"/>
        <w:ind w:left="0"/>
        <w:jc w:val="both"/>
      </w:pPr>
      <w:r>
        <w:t xml:space="preserve">Yves </w:t>
      </w:r>
      <w:proofErr w:type="spellStart"/>
      <w:r>
        <w:t>Gruel</w:t>
      </w:r>
      <w:proofErr w:type="spellEnd"/>
      <w:r>
        <w:t xml:space="preserve"> a ensuite remercié </w:t>
      </w:r>
      <w:r w:rsidR="000941B7">
        <w:t xml:space="preserve">chaleureusement </w:t>
      </w:r>
      <w:r>
        <w:t>les organisateurs du congrès</w:t>
      </w:r>
      <w:r w:rsidR="001E2E61">
        <w:t xml:space="preserve"> de Montpellier</w:t>
      </w:r>
      <w:r w:rsidR="009A33EE">
        <w:t xml:space="preserve"> et fait un </w:t>
      </w:r>
      <w:r w:rsidR="000C21BD">
        <w:t xml:space="preserve">point sur les congrès à venir : </w:t>
      </w:r>
    </w:p>
    <w:p w14:paraId="3D830B91" w14:textId="1F4356E2" w:rsidR="000C21BD" w:rsidRDefault="000C21BD" w:rsidP="00D2222F">
      <w:pPr>
        <w:pStyle w:val="Paragraphedeliste"/>
        <w:ind w:left="0"/>
        <w:jc w:val="both"/>
      </w:pPr>
      <w:r>
        <w:t>Le congrès de Lyon qui se déroulera du 14 au 16 Octobre 2020 a été annoncé par Claude Négrier.</w:t>
      </w:r>
    </w:p>
    <w:p w14:paraId="76A098AC" w14:textId="19A7116B" w:rsidR="000C21BD" w:rsidRDefault="000C21BD" w:rsidP="00EF0EC5">
      <w:pPr>
        <w:pStyle w:val="Paragraphedeliste"/>
        <w:ind w:left="0"/>
      </w:pPr>
      <w:r>
        <w:t>En 2021 : Bordeaux</w:t>
      </w:r>
      <w:r w:rsidR="000941B7">
        <w:t>, organisé par l’équipe de Chloé James</w:t>
      </w:r>
    </w:p>
    <w:p w14:paraId="04708CF4" w14:textId="63C42626" w:rsidR="000C21BD" w:rsidRDefault="000C21BD" w:rsidP="00EF0EC5">
      <w:pPr>
        <w:pStyle w:val="Paragraphedeliste"/>
        <w:ind w:left="0"/>
      </w:pPr>
      <w:r>
        <w:t xml:space="preserve">En 2022 : Paris-Bretagne </w:t>
      </w:r>
      <w:r w:rsidR="000941B7">
        <w:t xml:space="preserve">organisé par l’équipe de Cécile Denis et Peter </w:t>
      </w:r>
      <w:proofErr w:type="spellStart"/>
      <w:r w:rsidR="000941B7">
        <w:t>Lenting</w:t>
      </w:r>
      <w:proofErr w:type="spellEnd"/>
    </w:p>
    <w:p w14:paraId="5A859DEB" w14:textId="37FE87DE" w:rsidR="000C21BD" w:rsidRDefault="000C21BD" w:rsidP="00D2222F">
      <w:pPr>
        <w:pStyle w:val="Paragraphedeliste"/>
        <w:ind w:left="0"/>
        <w:jc w:val="both"/>
      </w:pPr>
      <w:r>
        <w:t>Les candidats pour organiser les prochaines réunions sont invités à se manifester auprès du bureau</w:t>
      </w:r>
      <w:r w:rsidR="0059767D">
        <w:t>.</w:t>
      </w:r>
    </w:p>
    <w:p w14:paraId="4B1BDCF5" w14:textId="77777777" w:rsidR="000C21BD" w:rsidRDefault="000C21BD" w:rsidP="00EF0EC5">
      <w:pPr>
        <w:pStyle w:val="Paragraphedeliste"/>
        <w:ind w:left="0"/>
      </w:pPr>
    </w:p>
    <w:p w14:paraId="2D0A38B1" w14:textId="3245ED16" w:rsidR="00EA52A6" w:rsidRDefault="00EA52A6" w:rsidP="00D2222F">
      <w:pPr>
        <w:pStyle w:val="Paragraphedeliste"/>
        <w:ind w:left="0"/>
        <w:jc w:val="both"/>
      </w:pPr>
      <w:r>
        <w:t>Le bil</w:t>
      </w:r>
      <w:r w:rsidR="009A33EE">
        <w:t>an financier est présenté par la trésorière</w:t>
      </w:r>
      <w:r>
        <w:t>, Do</w:t>
      </w:r>
      <w:r w:rsidR="009A33EE">
        <w:t xml:space="preserve">minique Lasne. Les comptes 2018 </w:t>
      </w:r>
      <w:r>
        <w:t xml:space="preserve">ont été validés par l’expert-comptable et sont </w:t>
      </w:r>
      <w:r w:rsidR="000941B7">
        <w:t>approuvés</w:t>
      </w:r>
      <w:r>
        <w:t xml:space="preserve"> par</w:t>
      </w:r>
      <w:r w:rsidR="00A10665">
        <w:t xml:space="preserve"> les membres lors de</w:t>
      </w:r>
      <w:r>
        <w:t xml:space="preserve"> l’AG.</w:t>
      </w:r>
    </w:p>
    <w:p w14:paraId="30201C1C" w14:textId="77777777" w:rsidR="00125878" w:rsidRDefault="00125878" w:rsidP="00EA52A6">
      <w:pPr>
        <w:pStyle w:val="Paragraphedeliste"/>
        <w:ind w:left="0"/>
      </w:pPr>
    </w:p>
    <w:p w14:paraId="011E1DD1" w14:textId="1B79FD5F" w:rsidR="0059767D" w:rsidRPr="00343E44" w:rsidRDefault="00125878" w:rsidP="00343E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fr-FR"/>
        </w:rPr>
      </w:pPr>
      <w:r w:rsidRPr="00343E44">
        <w:rPr>
          <w:rFonts w:asciiTheme="minorHAnsi" w:hAnsiTheme="minorHAnsi" w:cstheme="minorHAnsi"/>
        </w:rPr>
        <w:t>Le prix GFHT/</w:t>
      </w:r>
      <w:proofErr w:type="spellStart"/>
      <w:r w:rsidRPr="00343E44">
        <w:rPr>
          <w:rFonts w:asciiTheme="minorHAnsi" w:hAnsiTheme="minorHAnsi" w:cstheme="minorHAnsi"/>
        </w:rPr>
        <w:t>CoMETH</w:t>
      </w:r>
      <w:proofErr w:type="spellEnd"/>
      <w:r w:rsidRPr="00343E44">
        <w:rPr>
          <w:rFonts w:asciiTheme="minorHAnsi" w:hAnsiTheme="minorHAnsi" w:cstheme="minorHAnsi"/>
        </w:rPr>
        <w:t xml:space="preserve"> </w:t>
      </w:r>
      <w:r w:rsidR="00E0368A">
        <w:rPr>
          <w:rFonts w:asciiTheme="minorHAnsi" w:hAnsiTheme="minorHAnsi" w:cstheme="minorHAnsi"/>
        </w:rPr>
        <w:t>soutenu</w:t>
      </w:r>
      <w:r w:rsidR="0059767D" w:rsidRPr="00343E44">
        <w:rPr>
          <w:rFonts w:asciiTheme="minorHAnsi" w:hAnsiTheme="minorHAnsi" w:cstheme="minorHAnsi"/>
        </w:rPr>
        <w:t xml:space="preserve"> par la Société </w:t>
      </w:r>
      <w:proofErr w:type="spellStart"/>
      <w:r w:rsidR="0059767D" w:rsidRPr="00343E44">
        <w:rPr>
          <w:rFonts w:asciiTheme="minorHAnsi" w:hAnsiTheme="minorHAnsi" w:cstheme="minorHAnsi"/>
        </w:rPr>
        <w:t>Stago</w:t>
      </w:r>
      <w:proofErr w:type="spellEnd"/>
      <w:r w:rsidR="0059767D" w:rsidRPr="00343E44">
        <w:rPr>
          <w:rFonts w:asciiTheme="minorHAnsi" w:hAnsiTheme="minorHAnsi" w:cstheme="minorHAnsi"/>
        </w:rPr>
        <w:t xml:space="preserve"> a été remis à </w:t>
      </w:r>
      <w:r w:rsidR="00343E44" w:rsidRPr="00343E44">
        <w:rPr>
          <w:rFonts w:asciiTheme="minorHAnsi" w:hAnsiTheme="minorHAnsi" w:cstheme="minorHAnsi"/>
          <w:lang w:eastAsia="fr-FR"/>
        </w:rPr>
        <w:t>G</w:t>
      </w:r>
      <w:r w:rsidR="00343E44">
        <w:rPr>
          <w:rFonts w:asciiTheme="minorHAnsi" w:hAnsiTheme="minorHAnsi" w:cstheme="minorHAnsi"/>
          <w:lang w:eastAsia="fr-FR"/>
        </w:rPr>
        <w:t xml:space="preserve">. </w:t>
      </w:r>
      <w:r w:rsidR="00343E44" w:rsidRPr="00343E44">
        <w:rPr>
          <w:rFonts w:asciiTheme="minorHAnsi" w:hAnsiTheme="minorHAnsi" w:cstheme="minorHAnsi"/>
          <w:lang w:eastAsia="fr-FR"/>
        </w:rPr>
        <w:t xml:space="preserve">ZIRKA </w:t>
      </w:r>
      <w:r w:rsidR="00343E44">
        <w:rPr>
          <w:rFonts w:asciiTheme="minorHAnsi" w:hAnsiTheme="minorHAnsi" w:cstheme="minorHAnsi"/>
          <w:lang w:eastAsia="fr-FR"/>
        </w:rPr>
        <w:t xml:space="preserve">(équipe du </w:t>
      </w:r>
      <w:r w:rsidR="00343E44" w:rsidRPr="00343E44">
        <w:rPr>
          <w:rFonts w:asciiTheme="minorHAnsi" w:hAnsiTheme="minorHAnsi" w:cstheme="minorHAnsi"/>
          <w:lang w:eastAsia="fr-FR"/>
        </w:rPr>
        <w:t xml:space="preserve"> Pr </w:t>
      </w:r>
      <w:proofErr w:type="spellStart"/>
      <w:r w:rsidR="00343E44" w:rsidRPr="00343E44">
        <w:rPr>
          <w:rFonts w:asciiTheme="minorHAnsi" w:hAnsiTheme="minorHAnsi" w:cstheme="minorHAnsi"/>
          <w:lang w:eastAsia="fr-FR"/>
        </w:rPr>
        <w:t>Morange</w:t>
      </w:r>
      <w:proofErr w:type="spellEnd"/>
      <w:r w:rsidR="00343E44">
        <w:rPr>
          <w:rFonts w:asciiTheme="minorHAnsi" w:hAnsiTheme="minorHAnsi" w:cstheme="minorHAnsi"/>
          <w:lang w:eastAsia="fr-FR"/>
        </w:rPr>
        <w:t>, Marseille</w:t>
      </w:r>
      <w:r w:rsidR="00343E44" w:rsidRPr="00343E44">
        <w:rPr>
          <w:rFonts w:asciiTheme="minorHAnsi" w:hAnsiTheme="minorHAnsi" w:cstheme="minorHAnsi"/>
          <w:lang w:eastAsia="fr-FR"/>
        </w:rPr>
        <w:t>)</w:t>
      </w:r>
      <w:r w:rsidR="00343E44">
        <w:rPr>
          <w:rFonts w:asciiTheme="minorHAnsi" w:hAnsiTheme="minorHAnsi" w:cstheme="minorHAnsi"/>
          <w:lang w:eastAsia="fr-FR"/>
        </w:rPr>
        <w:t xml:space="preserve"> pour sa communication intitulée : </w:t>
      </w:r>
      <w:r w:rsidR="00343E44" w:rsidRPr="00343E44">
        <w:rPr>
          <w:rFonts w:asciiTheme="minorHAnsi" w:hAnsiTheme="minorHAnsi" w:cstheme="minorHAnsi"/>
          <w:lang w:eastAsia="fr-FR"/>
        </w:rPr>
        <w:t xml:space="preserve">CTL-2 est un récepteur du facteur </w:t>
      </w:r>
      <w:proofErr w:type="spellStart"/>
      <w:r w:rsidR="00343E44" w:rsidRPr="00343E44">
        <w:rPr>
          <w:rFonts w:asciiTheme="minorHAnsi" w:hAnsiTheme="minorHAnsi" w:cstheme="minorHAnsi"/>
          <w:lang w:eastAsia="fr-FR"/>
        </w:rPr>
        <w:t>Willebrand</w:t>
      </w:r>
      <w:proofErr w:type="spellEnd"/>
      <w:r w:rsidR="00343E44" w:rsidRPr="00343E44">
        <w:rPr>
          <w:rFonts w:asciiTheme="minorHAnsi" w:hAnsiTheme="minorHAnsi" w:cstheme="minorHAnsi"/>
          <w:lang w:eastAsia="fr-FR"/>
        </w:rPr>
        <w:t xml:space="preserve"> impliqué dans l’activation du neutrophile</w:t>
      </w:r>
    </w:p>
    <w:p w14:paraId="2990E6F0" w14:textId="3475637C" w:rsidR="00343E44" w:rsidRDefault="00343E44" w:rsidP="00343E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prix des posters, </w:t>
      </w:r>
      <w:r w:rsidR="00E0368A">
        <w:rPr>
          <w:rFonts w:asciiTheme="minorHAnsi" w:hAnsiTheme="minorHAnsi" w:cstheme="minorHAnsi"/>
        </w:rPr>
        <w:t>soutenu</w:t>
      </w:r>
      <w:r w:rsidR="00D2222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 la Société </w:t>
      </w:r>
      <w:proofErr w:type="spellStart"/>
      <w:r>
        <w:rPr>
          <w:rFonts w:asciiTheme="minorHAnsi" w:hAnsiTheme="minorHAnsi" w:cstheme="minorHAnsi"/>
        </w:rPr>
        <w:t>Sysmex</w:t>
      </w:r>
      <w:proofErr w:type="spellEnd"/>
      <w:r>
        <w:rPr>
          <w:rFonts w:asciiTheme="minorHAnsi" w:hAnsiTheme="minorHAnsi" w:cstheme="minorHAnsi"/>
        </w:rPr>
        <w:t xml:space="preserve">, ont été remis à : </w:t>
      </w:r>
    </w:p>
    <w:p w14:paraId="5AE32AE6" w14:textId="2F95C674" w:rsidR="00125878" w:rsidRDefault="00343E44" w:rsidP="00343E44">
      <w:pPr>
        <w:jc w:val="both"/>
        <w:rPr>
          <w:rFonts w:asciiTheme="minorHAnsi" w:hAnsiTheme="minorHAnsi" w:cstheme="minorHAnsi"/>
        </w:rPr>
      </w:pPr>
      <w:r w:rsidRPr="00343E44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 </w:t>
      </w:r>
      <w:r w:rsidRPr="00343E44">
        <w:rPr>
          <w:rFonts w:eastAsia="MS Mincho"/>
          <w:lang w:eastAsia="ja-JP"/>
        </w:rPr>
        <w:t xml:space="preserve">S. </w:t>
      </w:r>
      <w:proofErr w:type="spellStart"/>
      <w:r w:rsidRPr="00343E44">
        <w:rPr>
          <w:rFonts w:eastAsia="MS Mincho"/>
          <w:lang w:eastAsia="ja-JP"/>
        </w:rPr>
        <w:t>Labrouche</w:t>
      </w:r>
      <w:proofErr w:type="spellEnd"/>
      <w:r w:rsidRPr="00343E44">
        <w:rPr>
          <w:rFonts w:eastAsia="MS Mincho"/>
          <w:lang w:eastAsia="ja-JP"/>
        </w:rPr>
        <w:t xml:space="preserve"> </w:t>
      </w:r>
      <w:proofErr w:type="spellStart"/>
      <w:r w:rsidRPr="00343E44">
        <w:rPr>
          <w:rFonts w:eastAsia="MS Mincho"/>
          <w:lang w:eastAsia="ja-JP"/>
        </w:rPr>
        <w:t>Colomer</w:t>
      </w:r>
      <w:proofErr w:type="spellEnd"/>
      <w:r w:rsidRPr="00343E44">
        <w:rPr>
          <w:rFonts w:eastAsia="MS Mincho"/>
          <w:lang w:eastAsia="ja-JP"/>
        </w:rPr>
        <w:t xml:space="preserve"> (équipe du Pr Chloé James, Bordeaux) pour sa communication affichée intitulée : </w:t>
      </w:r>
      <w:proofErr w:type="spellStart"/>
      <w:r w:rsidRPr="00343E44">
        <w:rPr>
          <w:rFonts w:eastAsia="MS Mincho"/>
          <w:lang w:eastAsia="ja-JP"/>
        </w:rPr>
        <w:t>Etude</w:t>
      </w:r>
      <w:proofErr w:type="spellEnd"/>
      <w:r w:rsidRPr="00343E44">
        <w:rPr>
          <w:rFonts w:eastAsia="MS Mincho"/>
          <w:lang w:eastAsia="ja-JP"/>
        </w:rPr>
        <w:t xml:space="preserve"> compar</w:t>
      </w:r>
      <w:r w:rsidR="00D2222F">
        <w:rPr>
          <w:rFonts w:eastAsia="MS Mincho"/>
          <w:lang w:eastAsia="ja-JP"/>
        </w:rPr>
        <w:t>ée</w:t>
      </w:r>
      <w:r w:rsidRPr="00343E44">
        <w:rPr>
          <w:rFonts w:eastAsia="MS Mincho"/>
          <w:lang w:eastAsia="ja-JP"/>
        </w:rPr>
        <w:t xml:space="preserve"> de trois types de prélèvements sur les marqueurs et modulateurs circulants de </w:t>
      </w:r>
      <w:proofErr w:type="spellStart"/>
      <w:r w:rsidRPr="00343E44">
        <w:rPr>
          <w:rFonts w:eastAsia="MS Mincho"/>
          <w:lang w:eastAsia="ja-JP"/>
        </w:rPr>
        <w:t>nétose</w:t>
      </w:r>
      <w:proofErr w:type="spellEnd"/>
      <w:r w:rsidRPr="00343E44">
        <w:rPr>
          <w:rFonts w:eastAsia="MS Mincho"/>
          <w:lang w:eastAsia="ja-JP"/>
        </w:rPr>
        <w:t xml:space="preserve"> (ADN circulant, </w:t>
      </w:r>
      <w:proofErr w:type="spellStart"/>
      <w:r w:rsidRPr="00343E44">
        <w:rPr>
          <w:rFonts w:eastAsia="MS Mincho"/>
          <w:lang w:eastAsia="ja-JP"/>
        </w:rPr>
        <w:t>complex</w:t>
      </w:r>
      <w:proofErr w:type="spellEnd"/>
      <w:r w:rsidRPr="00343E44">
        <w:rPr>
          <w:rFonts w:eastAsia="MS Mincho"/>
          <w:lang w:eastAsia="ja-JP"/>
        </w:rPr>
        <w:t xml:space="preserve"> MPO-DNA et </w:t>
      </w:r>
      <w:proofErr w:type="spellStart"/>
      <w:r w:rsidRPr="00343E44">
        <w:rPr>
          <w:rFonts w:eastAsia="MS Mincho"/>
          <w:lang w:eastAsia="ja-JP"/>
        </w:rPr>
        <w:t>DNase</w:t>
      </w:r>
      <w:proofErr w:type="spellEnd"/>
      <w:r w:rsidRPr="00343E44">
        <w:rPr>
          <w:rFonts w:eastAsia="MS Mincho"/>
          <w:lang w:eastAsia="ja-JP"/>
        </w:rPr>
        <w:t>)</w:t>
      </w:r>
      <w:r w:rsidRPr="00343E44">
        <w:rPr>
          <w:rFonts w:asciiTheme="minorHAnsi" w:hAnsiTheme="minorHAnsi" w:cstheme="minorHAnsi"/>
        </w:rPr>
        <w:t xml:space="preserve"> </w:t>
      </w:r>
    </w:p>
    <w:p w14:paraId="725FB717" w14:textId="0B95E386" w:rsidR="00343E44" w:rsidRPr="00343E44" w:rsidRDefault="00343E44" w:rsidP="00343E44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N. Rosso (équipe du Pr Hervé </w:t>
      </w:r>
      <w:proofErr w:type="spellStart"/>
      <w:r>
        <w:rPr>
          <w:rFonts w:eastAsia="MS Mincho"/>
          <w:lang w:eastAsia="ja-JP"/>
        </w:rPr>
        <w:t>Chambost</w:t>
      </w:r>
      <w:proofErr w:type="spellEnd"/>
      <w:r>
        <w:rPr>
          <w:rFonts w:eastAsia="MS Mincho"/>
          <w:lang w:eastAsia="ja-JP"/>
        </w:rPr>
        <w:t>, Marseil</w:t>
      </w:r>
      <w:r w:rsidR="00D2222F">
        <w:rPr>
          <w:rFonts w:eastAsia="MS Mincho"/>
          <w:lang w:eastAsia="ja-JP"/>
        </w:rPr>
        <w:t>l</w:t>
      </w:r>
      <w:r>
        <w:rPr>
          <w:rFonts w:eastAsia="MS Mincho"/>
          <w:lang w:eastAsia="ja-JP"/>
        </w:rPr>
        <w:t>e</w:t>
      </w:r>
      <w:r w:rsidRPr="00A22CF3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 xml:space="preserve">pour sa communication affichée intitulée : </w:t>
      </w:r>
      <w:proofErr w:type="spellStart"/>
      <w:r>
        <w:rPr>
          <w:rFonts w:eastAsia="MS Mincho"/>
          <w:lang w:eastAsia="ja-JP"/>
        </w:rPr>
        <w:t>Evaluation</w:t>
      </w:r>
      <w:proofErr w:type="spellEnd"/>
      <w:r>
        <w:rPr>
          <w:rFonts w:eastAsia="MS Mincho"/>
          <w:lang w:eastAsia="ja-JP"/>
        </w:rPr>
        <w:t xml:space="preserve"> psychologique des fratries d’enfants attei</w:t>
      </w:r>
      <w:r w:rsidR="004A2F1F">
        <w:rPr>
          <w:rFonts w:eastAsia="MS Mincho"/>
          <w:lang w:eastAsia="ja-JP"/>
        </w:rPr>
        <w:t>n</w:t>
      </w:r>
      <w:bookmarkStart w:id="0" w:name="_GoBack"/>
      <w:bookmarkEnd w:id="0"/>
      <w:r>
        <w:rPr>
          <w:rFonts w:eastAsia="MS Mincho"/>
          <w:lang w:eastAsia="ja-JP"/>
        </w:rPr>
        <w:t>ts d’hémophilie sévère</w:t>
      </w:r>
    </w:p>
    <w:p w14:paraId="0579EEA2" w14:textId="77777777" w:rsidR="00EA52A6" w:rsidRPr="00343E44" w:rsidRDefault="00EA52A6" w:rsidP="00EA52A6">
      <w:pPr>
        <w:pStyle w:val="Paragraphedeliste"/>
        <w:ind w:left="0"/>
        <w:rPr>
          <w:rFonts w:asciiTheme="minorHAnsi" w:hAnsiTheme="minorHAnsi" w:cstheme="minorHAnsi"/>
        </w:rPr>
      </w:pPr>
    </w:p>
    <w:p w14:paraId="0C36631E" w14:textId="3FA535FD" w:rsidR="00DC1B7F" w:rsidRDefault="000941B7" w:rsidP="00EA52A6">
      <w:pPr>
        <w:pStyle w:val="Paragraphedeliste"/>
        <w:ind w:left="0"/>
      </w:pPr>
      <w:r>
        <w:t>Fin de CR.</w:t>
      </w:r>
    </w:p>
    <w:sectPr w:rsidR="00DC1B7F" w:rsidSect="00ED3D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4DB"/>
    <w:multiLevelType w:val="hybridMultilevel"/>
    <w:tmpl w:val="78526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B5E8F"/>
    <w:multiLevelType w:val="hybridMultilevel"/>
    <w:tmpl w:val="2872F8A4"/>
    <w:lvl w:ilvl="0" w:tplc="EA6A770A">
      <w:numFmt w:val="bullet"/>
      <w:lvlText w:val="-"/>
      <w:lvlJc w:val="left"/>
      <w:pPr>
        <w:ind w:left="1068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D42DAB"/>
    <w:multiLevelType w:val="hybridMultilevel"/>
    <w:tmpl w:val="37260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26F"/>
    <w:multiLevelType w:val="hybridMultilevel"/>
    <w:tmpl w:val="232463E8"/>
    <w:lvl w:ilvl="0" w:tplc="E6A4C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FB1F5C"/>
    <w:multiLevelType w:val="hybridMultilevel"/>
    <w:tmpl w:val="42927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13ED2"/>
    <w:multiLevelType w:val="hybridMultilevel"/>
    <w:tmpl w:val="ED241990"/>
    <w:lvl w:ilvl="0" w:tplc="7CD4494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55"/>
    <w:rsid w:val="000025D5"/>
    <w:rsid w:val="00011162"/>
    <w:rsid w:val="000941B7"/>
    <w:rsid w:val="000B6B5F"/>
    <w:rsid w:val="000C21BD"/>
    <w:rsid w:val="00125878"/>
    <w:rsid w:val="00132944"/>
    <w:rsid w:val="00143F7D"/>
    <w:rsid w:val="00154152"/>
    <w:rsid w:val="00163642"/>
    <w:rsid w:val="001A4CD9"/>
    <w:rsid w:val="001A596C"/>
    <w:rsid w:val="001D4BAB"/>
    <w:rsid w:val="001E2E61"/>
    <w:rsid w:val="00237653"/>
    <w:rsid w:val="002848E4"/>
    <w:rsid w:val="002C0808"/>
    <w:rsid w:val="00343E44"/>
    <w:rsid w:val="003649E9"/>
    <w:rsid w:val="003D3AD1"/>
    <w:rsid w:val="003E5655"/>
    <w:rsid w:val="00437EF7"/>
    <w:rsid w:val="00457620"/>
    <w:rsid w:val="004A291B"/>
    <w:rsid w:val="004A2F1F"/>
    <w:rsid w:val="004E1A7F"/>
    <w:rsid w:val="004E2682"/>
    <w:rsid w:val="00504341"/>
    <w:rsid w:val="005565F6"/>
    <w:rsid w:val="0059767D"/>
    <w:rsid w:val="005B4793"/>
    <w:rsid w:val="005C686E"/>
    <w:rsid w:val="00636E94"/>
    <w:rsid w:val="00654B68"/>
    <w:rsid w:val="0067087D"/>
    <w:rsid w:val="00694A64"/>
    <w:rsid w:val="007132EF"/>
    <w:rsid w:val="007623E1"/>
    <w:rsid w:val="007A3907"/>
    <w:rsid w:val="007A3DC1"/>
    <w:rsid w:val="007B643E"/>
    <w:rsid w:val="007E4946"/>
    <w:rsid w:val="00800E41"/>
    <w:rsid w:val="00837AC9"/>
    <w:rsid w:val="00933FC2"/>
    <w:rsid w:val="009343E9"/>
    <w:rsid w:val="00973B35"/>
    <w:rsid w:val="009A33EE"/>
    <w:rsid w:val="009C1FF1"/>
    <w:rsid w:val="00A10665"/>
    <w:rsid w:val="00A15662"/>
    <w:rsid w:val="00A16920"/>
    <w:rsid w:val="00A43A23"/>
    <w:rsid w:val="00A742DC"/>
    <w:rsid w:val="00AA2010"/>
    <w:rsid w:val="00AC07FC"/>
    <w:rsid w:val="00AC18BA"/>
    <w:rsid w:val="00B035EE"/>
    <w:rsid w:val="00B40DA2"/>
    <w:rsid w:val="00B41D1A"/>
    <w:rsid w:val="00B47583"/>
    <w:rsid w:val="00BB1794"/>
    <w:rsid w:val="00BC0D15"/>
    <w:rsid w:val="00BD77D0"/>
    <w:rsid w:val="00C04732"/>
    <w:rsid w:val="00CA11DD"/>
    <w:rsid w:val="00CC4C80"/>
    <w:rsid w:val="00CE1AEA"/>
    <w:rsid w:val="00CF0B9B"/>
    <w:rsid w:val="00CF6898"/>
    <w:rsid w:val="00D151C1"/>
    <w:rsid w:val="00D2222F"/>
    <w:rsid w:val="00D45141"/>
    <w:rsid w:val="00D80FD0"/>
    <w:rsid w:val="00DC1B7F"/>
    <w:rsid w:val="00DF4B00"/>
    <w:rsid w:val="00E0368A"/>
    <w:rsid w:val="00E251FB"/>
    <w:rsid w:val="00E442C6"/>
    <w:rsid w:val="00E54849"/>
    <w:rsid w:val="00E95227"/>
    <w:rsid w:val="00EA52A6"/>
    <w:rsid w:val="00EC6D15"/>
    <w:rsid w:val="00ED3DF6"/>
    <w:rsid w:val="00EF0EC5"/>
    <w:rsid w:val="00F04387"/>
    <w:rsid w:val="00F12257"/>
    <w:rsid w:val="00F93F45"/>
    <w:rsid w:val="00FB355C"/>
    <w:rsid w:val="00FC3577"/>
    <w:rsid w:val="00FF590E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D164B"/>
  <w15:docId w15:val="{2BBB03C5-AED9-6246-8090-3812F8FA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2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E5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1D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251FB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rsid w:val="00CF0B9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lang w:eastAsia="fr-FR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06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6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6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6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6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2435F-C0DE-A54F-8B88-BE22A4F4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bureau du GFHT, Tours le 16 novembre 2016</vt:lpstr>
    </vt:vector>
  </TitlesOfParts>
  <Company>APHP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bureau du GFHT, Tours le 16 novembre 2016</dc:title>
  <dc:creator>Utilisateur de Microsoft Office</dc:creator>
  <cp:lastModifiedBy>Lasne D</cp:lastModifiedBy>
  <cp:revision>2</cp:revision>
  <cp:lastPrinted>2017-05-06T07:47:00Z</cp:lastPrinted>
  <dcterms:created xsi:type="dcterms:W3CDTF">2019-11-07T18:19:00Z</dcterms:created>
  <dcterms:modified xsi:type="dcterms:W3CDTF">2019-11-07T18:19:00Z</dcterms:modified>
</cp:coreProperties>
</file>